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040E" w14:textId="77777777" w:rsidR="00935E05" w:rsidRPr="00441A08" w:rsidRDefault="00935E05" w:rsidP="00115B98">
      <w:pPr>
        <w:spacing w:after="120"/>
        <w:jc w:val="center"/>
        <w:rPr>
          <w:vertAlign w:val="subscript"/>
          <w:lang w:val="en-NZ"/>
        </w:rPr>
      </w:pPr>
    </w:p>
    <w:p w14:paraId="40C05E75" w14:textId="77777777" w:rsidR="00E67F63" w:rsidRPr="00E67F63" w:rsidRDefault="00E67F63" w:rsidP="00E67F63"/>
    <w:p w14:paraId="2EF49262" w14:textId="77777777" w:rsidR="002D2AEA" w:rsidRPr="008E32B9" w:rsidRDefault="002D2AEA" w:rsidP="00115B98">
      <w:pPr>
        <w:pStyle w:val="Heading1"/>
        <w:spacing w:after="120"/>
        <w:rPr>
          <w:rFonts w:ascii="Verdana" w:hAnsi="Verdana"/>
          <w:sz w:val="20"/>
        </w:rPr>
      </w:pPr>
      <w:r w:rsidRPr="008E32B9">
        <w:rPr>
          <w:rFonts w:ascii="Verdana" w:hAnsi="Verdana"/>
          <w:sz w:val="20"/>
        </w:rPr>
        <w:t xml:space="preserve">REGULATIONS GOVERNING HOOD </w:t>
      </w:r>
      <w:r w:rsidR="00185C54">
        <w:rPr>
          <w:rFonts w:ascii="Verdana" w:hAnsi="Verdana"/>
          <w:sz w:val="20"/>
        </w:rPr>
        <w:t>F</w:t>
      </w:r>
      <w:r w:rsidRPr="008E32B9">
        <w:rPr>
          <w:rFonts w:ascii="Verdana" w:hAnsi="Verdana"/>
          <w:sz w:val="20"/>
        </w:rPr>
        <w:t>ELLOWSHIPS</w:t>
      </w:r>
    </w:p>
    <w:p w14:paraId="77A0984F" w14:textId="77777777" w:rsidR="00245D3E" w:rsidRPr="008E32B9" w:rsidRDefault="00245D3E" w:rsidP="00115B98">
      <w:pPr>
        <w:spacing w:after="12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"/>
        <w:gridCol w:w="897"/>
        <w:gridCol w:w="120"/>
        <w:gridCol w:w="6722"/>
      </w:tblGrid>
      <w:tr w:rsidR="00245D3E" w:rsidRPr="008E32B9" w14:paraId="4806A1DC" w14:textId="77777777" w:rsidTr="008A4BF4">
        <w:tc>
          <w:tcPr>
            <w:tcW w:w="581" w:type="dxa"/>
          </w:tcPr>
          <w:p w14:paraId="66FFFF50" w14:textId="77777777" w:rsidR="00245D3E" w:rsidRPr="008E32B9" w:rsidRDefault="008A4BF4" w:rsidP="009001D1">
            <w:pPr>
              <w:spacing w:after="120"/>
            </w:pPr>
            <w:r>
              <w:t>1</w:t>
            </w:r>
          </w:p>
        </w:tc>
        <w:tc>
          <w:tcPr>
            <w:tcW w:w="7948" w:type="dxa"/>
            <w:gridSpan w:val="3"/>
          </w:tcPr>
          <w:p w14:paraId="05F2A092" w14:textId="77777777" w:rsidR="00245D3E" w:rsidRPr="008E32B9" w:rsidRDefault="00245D3E" w:rsidP="00D3699C">
            <w:pPr>
              <w:spacing w:after="120"/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Hood </w:t>
            </w:r>
            <w:r w:rsidR="00185C54" w:rsidRPr="009001D1">
              <w:rPr>
                <w:rFonts w:ascii="Verdana" w:hAnsi="Verdana" w:cs="Arial"/>
                <w:sz w:val="20"/>
                <w:szCs w:val="20"/>
                <w:lang w:val="en-NZ"/>
              </w:rPr>
              <w:t>F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ellowships may be awarde</w:t>
            </w:r>
            <w:r w:rsidR="0096032B">
              <w:rPr>
                <w:rFonts w:ascii="Verdana" w:hAnsi="Verdana" w:cs="Arial"/>
                <w:sz w:val="20"/>
                <w:szCs w:val="20"/>
                <w:lang w:val="en-NZ"/>
              </w:rPr>
              <w:t>d to academic staff members of t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he University of Auckland or to visiting academics who have demonstrated outstanding contribution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>s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 in their </w:t>
            </w:r>
            <w:r w:rsidR="00D3699C" w:rsidRPr="009001D1">
              <w:rPr>
                <w:rFonts w:ascii="Verdana" w:hAnsi="Verdana" w:cs="Arial"/>
                <w:sz w:val="20"/>
                <w:szCs w:val="20"/>
                <w:lang w:val="en-NZ"/>
              </w:rPr>
              <w:t>disciplines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. Fellows are expected to use the award 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to increase their knowledge to the benefit of The University of Auckland and 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>the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>i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nternational scholarly community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>, or, in the case of incoming visitors, to interact with staff and students and present their research findings to public audiences.</w:t>
            </w:r>
          </w:p>
        </w:tc>
      </w:tr>
      <w:tr w:rsidR="00245D3E" w:rsidRPr="008E32B9" w14:paraId="3EE7DFB1" w14:textId="77777777" w:rsidTr="008A4BF4">
        <w:tc>
          <w:tcPr>
            <w:tcW w:w="581" w:type="dxa"/>
          </w:tcPr>
          <w:p w14:paraId="417C3DD4" w14:textId="77777777" w:rsidR="00245D3E" w:rsidRPr="00F64129" w:rsidRDefault="008A4BF4" w:rsidP="009001D1">
            <w:pPr>
              <w:spacing w:after="120"/>
            </w:pPr>
            <w:r>
              <w:t>2</w:t>
            </w:r>
          </w:p>
        </w:tc>
        <w:tc>
          <w:tcPr>
            <w:tcW w:w="7948" w:type="dxa"/>
            <w:gridSpan w:val="3"/>
          </w:tcPr>
          <w:p w14:paraId="565CBDBD" w14:textId="77777777" w:rsidR="00245D3E" w:rsidRPr="008E32B9" w:rsidRDefault="00245D3E" w:rsidP="009001D1">
            <w:pPr>
              <w:spacing w:after="120"/>
            </w:pPr>
            <w:r w:rsidRPr="00F64129">
              <w:rPr>
                <w:rFonts w:ascii="Verdana" w:hAnsi="Verdana" w:cs="Arial"/>
                <w:sz w:val="20"/>
                <w:szCs w:val="20"/>
                <w:lang w:val="en-NZ"/>
              </w:rPr>
              <w:t xml:space="preserve">A Hood </w:t>
            </w:r>
            <w:r w:rsidR="00185C54" w:rsidRPr="00F64129">
              <w:rPr>
                <w:rFonts w:ascii="Verdana" w:hAnsi="Verdana" w:cs="Arial"/>
                <w:sz w:val="20"/>
                <w:szCs w:val="20"/>
                <w:lang w:val="en-NZ"/>
              </w:rPr>
              <w:t>F</w:t>
            </w:r>
            <w:r w:rsidRPr="00F64129">
              <w:rPr>
                <w:rFonts w:ascii="Verdana" w:hAnsi="Verdana" w:cs="Arial"/>
                <w:sz w:val="20"/>
                <w:szCs w:val="20"/>
                <w:lang w:val="en-NZ"/>
              </w:rPr>
              <w:t>ellowship w</w:t>
            </w:r>
            <w:r w:rsidR="00FA0CA0" w:rsidRPr="00F64129">
              <w:rPr>
                <w:rFonts w:ascii="Verdana" w:hAnsi="Verdana" w:cs="Arial"/>
                <w:sz w:val="20"/>
                <w:szCs w:val="20"/>
                <w:lang w:val="en-NZ"/>
              </w:rPr>
              <w:t xml:space="preserve">ill normally be for a period of/from </w:t>
            </w:r>
            <w:r w:rsidRPr="00F64129">
              <w:rPr>
                <w:rFonts w:ascii="Verdana" w:hAnsi="Verdana" w:cs="Arial"/>
                <w:sz w:val="20"/>
                <w:szCs w:val="20"/>
                <w:lang w:val="en-NZ"/>
              </w:rPr>
              <w:t xml:space="preserve">between two </w:t>
            </w:r>
            <w:r w:rsidR="00FA0CA0" w:rsidRPr="00F64129">
              <w:rPr>
                <w:rFonts w:ascii="Verdana" w:hAnsi="Verdana" w:cs="Arial"/>
                <w:sz w:val="20"/>
                <w:szCs w:val="20"/>
                <w:lang w:val="en-NZ"/>
              </w:rPr>
              <w:t>weeks to three months.</w:t>
            </w:r>
          </w:p>
        </w:tc>
      </w:tr>
      <w:tr w:rsidR="006641AA" w:rsidRPr="008E32B9" w14:paraId="688B02AD" w14:textId="77777777" w:rsidTr="008A4BF4">
        <w:tc>
          <w:tcPr>
            <w:tcW w:w="581" w:type="dxa"/>
          </w:tcPr>
          <w:p w14:paraId="607D4F95" w14:textId="77777777" w:rsidR="006641AA" w:rsidRPr="008E32B9" w:rsidRDefault="008A4BF4" w:rsidP="00AF600F">
            <w:pPr>
              <w:spacing w:after="120"/>
            </w:pPr>
            <w:r>
              <w:t>3</w:t>
            </w:r>
          </w:p>
        </w:tc>
        <w:tc>
          <w:tcPr>
            <w:tcW w:w="7948" w:type="dxa"/>
            <w:gridSpan w:val="3"/>
          </w:tcPr>
          <w:p w14:paraId="4262EF81" w14:textId="77777777" w:rsidR="006641AA" w:rsidRPr="009001D1" w:rsidRDefault="006641AA" w:rsidP="00AF600F">
            <w:pPr>
              <w:spacing w:after="120"/>
              <w:rPr>
                <w:rFonts w:ascii="Verdana" w:hAnsi="Verdana"/>
                <w:spacing w:val="-2"/>
                <w:sz w:val="20"/>
              </w:rPr>
            </w:pPr>
            <w:r>
              <w:rPr>
                <w:rFonts w:ascii="Verdana" w:hAnsi="Verdana"/>
                <w:spacing w:val="-2"/>
                <w:sz w:val="20"/>
              </w:rPr>
              <w:t>All fellowships must be completed within the 12 month grant period</w:t>
            </w:r>
            <w:r w:rsidR="008A4BF4">
              <w:rPr>
                <w:rFonts w:ascii="Verdana" w:hAnsi="Verdana"/>
                <w:spacing w:val="-2"/>
                <w:sz w:val="20"/>
              </w:rPr>
              <w:t>.</w:t>
            </w:r>
          </w:p>
        </w:tc>
      </w:tr>
      <w:tr w:rsidR="00245D3E" w:rsidRPr="008E32B9" w14:paraId="7C74F6C0" w14:textId="77777777" w:rsidTr="008A4BF4">
        <w:tc>
          <w:tcPr>
            <w:tcW w:w="581" w:type="dxa"/>
          </w:tcPr>
          <w:p w14:paraId="37F28662" w14:textId="77777777" w:rsidR="00245D3E" w:rsidRPr="008E32B9" w:rsidRDefault="008A4BF4" w:rsidP="009001D1">
            <w:pPr>
              <w:spacing w:after="120"/>
            </w:pPr>
            <w:r>
              <w:t>4</w:t>
            </w:r>
          </w:p>
        </w:tc>
        <w:tc>
          <w:tcPr>
            <w:tcW w:w="7948" w:type="dxa"/>
            <w:gridSpan w:val="3"/>
          </w:tcPr>
          <w:p w14:paraId="6E1A27C7" w14:textId="77777777" w:rsidR="00245D3E" w:rsidRPr="009001D1" w:rsidRDefault="00245D3E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Fellowships are awarded on a contestable basis by </w:t>
            </w:r>
            <w:r w:rsidR="008D7696" w:rsidRPr="009001D1">
              <w:rPr>
                <w:rFonts w:ascii="Verdana" w:hAnsi="Verdana" w:cs="Arial"/>
                <w:sz w:val="20"/>
                <w:szCs w:val="20"/>
                <w:lang w:val="en-NZ"/>
              </w:rPr>
              <w:t>the Hood Fellowship Committee</w:t>
            </w:r>
            <w:r w:rsidR="00865905" w:rsidRPr="009001D1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</w:tc>
      </w:tr>
      <w:tr w:rsidR="008A4BF4" w:rsidRPr="008E32B9" w14:paraId="53A37E98" w14:textId="77777777" w:rsidTr="008A4BF4">
        <w:tc>
          <w:tcPr>
            <w:tcW w:w="581" w:type="dxa"/>
          </w:tcPr>
          <w:p w14:paraId="2E2B0E86" w14:textId="77777777" w:rsidR="008A4BF4" w:rsidRPr="008E32B9" w:rsidRDefault="008A4BF4" w:rsidP="009001D1">
            <w:pPr>
              <w:spacing w:after="120"/>
            </w:pPr>
            <w:r>
              <w:t>5</w:t>
            </w:r>
          </w:p>
        </w:tc>
        <w:tc>
          <w:tcPr>
            <w:tcW w:w="7948" w:type="dxa"/>
            <w:gridSpan w:val="3"/>
          </w:tcPr>
          <w:p w14:paraId="44D8FE60" w14:textId="77777777" w:rsidR="008A4BF4" w:rsidRPr="009001D1" w:rsidRDefault="008A4BF4" w:rsidP="00D74BC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Only </w:t>
            </w:r>
            <w:r w:rsidR="00E97D19">
              <w:rPr>
                <w:rFonts w:ascii="Verdana" w:hAnsi="Verdana" w:cs="Arial"/>
                <w:sz w:val="20"/>
                <w:szCs w:val="20"/>
                <w:lang w:val="en-NZ"/>
              </w:rPr>
              <w:t>e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>conomy class fares will be considered for all incoming and outgoing fellowships unless a special case is made by nominators</w:t>
            </w:r>
            <w:r w:rsidR="00E97618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  <w:r w:rsidR="00E97D19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245D3E" w:rsidRPr="008E32B9" w14:paraId="51ED8605" w14:textId="77777777" w:rsidTr="008A4BF4">
        <w:tc>
          <w:tcPr>
            <w:tcW w:w="581" w:type="dxa"/>
          </w:tcPr>
          <w:p w14:paraId="423C5F44" w14:textId="77777777" w:rsidR="00245D3E" w:rsidRPr="008E32B9" w:rsidRDefault="008A4BF4" w:rsidP="009001D1">
            <w:pPr>
              <w:spacing w:after="120"/>
            </w:pPr>
            <w:r>
              <w:t>6</w:t>
            </w:r>
          </w:p>
        </w:tc>
        <w:tc>
          <w:tcPr>
            <w:tcW w:w="7948" w:type="dxa"/>
            <w:gridSpan w:val="3"/>
          </w:tcPr>
          <w:p w14:paraId="211F8993" w14:textId="77777777" w:rsidR="00245D3E" w:rsidRPr="009001D1" w:rsidRDefault="00245D3E" w:rsidP="00D74BC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Hood Fellowship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 grants provide 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the cost of a return airfare by the most direct and economical route to the intended place of study of the awardee, or to Auckland in the case of an awardee 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from 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outside 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Auckland, 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actual and reasonable 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accommodation 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an 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allowance towards living expenses.</w:t>
            </w:r>
          </w:p>
        </w:tc>
      </w:tr>
      <w:tr w:rsidR="00764A62" w:rsidRPr="008E32B9" w14:paraId="7C9D339E" w14:textId="77777777" w:rsidTr="008A4BF4">
        <w:tc>
          <w:tcPr>
            <w:tcW w:w="581" w:type="dxa"/>
          </w:tcPr>
          <w:p w14:paraId="203B61CF" w14:textId="77777777" w:rsidR="00764A62" w:rsidRDefault="00764A62" w:rsidP="00AF600F">
            <w:pPr>
              <w:spacing w:after="120"/>
            </w:pPr>
            <w:r>
              <w:t>7</w:t>
            </w:r>
          </w:p>
        </w:tc>
        <w:tc>
          <w:tcPr>
            <w:tcW w:w="7948" w:type="dxa"/>
            <w:gridSpan w:val="3"/>
          </w:tcPr>
          <w:p w14:paraId="2123FC92" w14:textId="77777777" w:rsidR="00764A62" w:rsidRDefault="00764A62" w:rsidP="00AF600F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/>
                <w:sz w:val="20"/>
                <w:szCs w:val="20"/>
              </w:rPr>
              <w:t>A second airfare (within the total amount granted) is available for the Hood Fellow’s spouse or partner, who accompanies his/her spouse or partner for 15 days or more and who lives at the same address.</w:t>
            </w:r>
          </w:p>
        </w:tc>
      </w:tr>
      <w:tr w:rsidR="00F64129" w:rsidRPr="008E32B9" w14:paraId="4C78C1C1" w14:textId="77777777" w:rsidTr="008A4BF4">
        <w:tc>
          <w:tcPr>
            <w:tcW w:w="581" w:type="dxa"/>
          </w:tcPr>
          <w:p w14:paraId="35D238A6" w14:textId="77777777" w:rsidR="00F64129" w:rsidRPr="008E32B9" w:rsidRDefault="00E67F63" w:rsidP="009001D1">
            <w:pPr>
              <w:spacing w:after="120"/>
            </w:pPr>
            <w:r>
              <w:t>8</w:t>
            </w:r>
          </w:p>
        </w:tc>
        <w:tc>
          <w:tcPr>
            <w:tcW w:w="7948" w:type="dxa"/>
            <w:gridSpan w:val="3"/>
          </w:tcPr>
          <w:p w14:paraId="5CD402B5" w14:textId="77777777" w:rsidR="00F64129" w:rsidRPr="009001D1" w:rsidRDefault="00F64129" w:rsidP="00E05510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Those nominating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 fellows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or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 applying on their own behalf are required to present a provisional budget. All expenditure</w:t>
            </w:r>
            <w:r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6641AA">
              <w:rPr>
                <w:rFonts w:ascii="Verdana" w:hAnsi="Verdana" w:cs="Arial"/>
                <w:sz w:val="20"/>
                <w:szCs w:val="20"/>
                <w:lang w:val="en-NZ"/>
              </w:rPr>
              <w:t xml:space="preserve">should be accounted for in a report to be submitted within </w:t>
            </w:r>
            <w:r w:rsidR="00E05510">
              <w:rPr>
                <w:rFonts w:ascii="Verdana" w:hAnsi="Verdana" w:cs="Arial"/>
                <w:sz w:val="20"/>
                <w:szCs w:val="20"/>
                <w:lang w:val="en-NZ"/>
              </w:rPr>
              <w:t xml:space="preserve">three </w:t>
            </w:r>
            <w:r w:rsidR="006641AA">
              <w:rPr>
                <w:rFonts w:ascii="Verdana" w:hAnsi="Verdana" w:cs="Arial"/>
                <w:sz w:val="20"/>
                <w:szCs w:val="20"/>
                <w:lang w:val="en-NZ"/>
              </w:rPr>
              <w:t>months of the completion of the fellowship</w:t>
            </w:r>
            <w:r w:rsidR="008A4BF4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</w:tc>
      </w:tr>
      <w:tr w:rsidR="00245D3E" w:rsidRPr="008E32B9" w14:paraId="3676B3E5" w14:textId="77777777" w:rsidTr="008A4BF4">
        <w:tc>
          <w:tcPr>
            <w:tcW w:w="581" w:type="dxa"/>
          </w:tcPr>
          <w:p w14:paraId="4FADE773" w14:textId="77777777" w:rsidR="00245D3E" w:rsidRPr="008E32B9" w:rsidRDefault="00215265" w:rsidP="009001D1">
            <w:pPr>
              <w:spacing w:after="120"/>
            </w:pPr>
            <w:r>
              <w:t xml:space="preserve"> </w:t>
            </w:r>
            <w:r w:rsidR="00E67F63">
              <w:t>9</w:t>
            </w:r>
          </w:p>
        </w:tc>
        <w:tc>
          <w:tcPr>
            <w:tcW w:w="7948" w:type="dxa"/>
            <w:gridSpan w:val="3"/>
          </w:tcPr>
          <w:p w14:paraId="5D94F48D" w14:textId="77777777" w:rsidR="004E306C" w:rsidRPr="00D74BCB" w:rsidRDefault="004E306C" w:rsidP="00D74BC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D74BCB">
              <w:rPr>
                <w:rFonts w:ascii="Verdana" w:hAnsi="Verdana" w:cs="Arial"/>
                <w:sz w:val="20"/>
                <w:szCs w:val="20"/>
                <w:lang w:val="en-NZ"/>
              </w:rPr>
              <w:t>For Incoming Hood Fellows</w:t>
            </w:r>
            <w:r w:rsidR="00E97D19" w:rsidRP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, </w:t>
            </w:r>
            <w:r w:rsidR="00235D20" w:rsidRPr="00D74BCB">
              <w:rPr>
                <w:rFonts w:ascii="Verdana" w:hAnsi="Verdana" w:cs="Arial"/>
                <w:sz w:val="20"/>
                <w:szCs w:val="20"/>
                <w:lang w:val="en-NZ"/>
              </w:rPr>
              <w:t>general expenses can be paid as a per diem. The</w:t>
            </w:r>
            <w:r w:rsidR="009949BA" w:rsidRP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  <w:r w:rsidR="00235D20" w:rsidRP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amount </w:t>
            </w:r>
            <w:r w:rsidR="009949BA" w:rsidRPr="00D74BCB">
              <w:rPr>
                <w:rFonts w:ascii="Verdana" w:hAnsi="Verdana" w:cs="Arial"/>
                <w:sz w:val="20"/>
                <w:szCs w:val="20"/>
                <w:lang w:val="en-NZ"/>
              </w:rPr>
              <w:t>p</w:t>
            </w:r>
            <w:r w:rsidR="00235D20" w:rsidRP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ayable can be determined after flights and </w:t>
            </w:r>
            <w:r w:rsidR="00BA6A15" w:rsidRPr="00D74BCB">
              <w:rPr>
                <w:rFonts w:ascii="Verdana" w:hAnsi="Verdana" w:cs="Arial"/>
                <w:sz w:val="20"/>
                <w:szCs w:val="20"/>
                <w:lang w:val="en-NZ"/>
              </w:rPr>
              <w:t>accommodation</w:t>
            </w:r>
            <w:r w:rsidR="00235D20" w:rsidRP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 costs have been deducted from the total grant award. The maximum allowable per diem rate </w:t>
            </w:r>
            <w:r w:rsidR="00A106C9">
              <w:rPr>
                <w:rFonts w:ascii="Verdana" w:hAnsi="Verdana" w:cs="Arial"/>
                <w:sz w:val="20"/>
                <w:szCs w:val="20"/>
                <w:lang w:val="en-NZ"/>
              </w:rPr>
              <w:t xml:space="preserve">for Incoming Hood Fellows </w:t>
            </w:r>
            <w:r w:rsidR="00235D20" w:rsidRPr="00D74BCB">
              <w:rPr>
                <w:rFonts w:ascii="Verdana" w:hAnsi="Verdana" w:cs="Arial"/>
                <w:sz w:val="20"/>
                <w:szCs w:val="20"/>
                <w:lang w:val="en-NZ"/>
              </w:rPr>
              <w:t>is set at NZ $100.</w:t>
            </w:r>
            <w:r w:rsidRPr="00D74BCB">
              <w:rPr>
                <w:rFonts w:ascii="Verdana" w:hAnsi="Verdana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D74BCB" w:rsidRPr="008E32B9" w14:paraId="01D1EF4A" w14:textId="77777777" w:rsidTr="008A4BF4">
        <w:tc>
          <w:tcPr>
            <w:tcW w:w="581" w:type="dxa"/>
          </w:tcPr>
          <w:p w14:paraId="02E01689" w14:textId="77777777" w:rsidR="00D74BCB" w:rsidRDefault="00D74BCB" w:rsidP="009001D1">
            <w:pPr>
              <w:spacing w:after="120"/>
            </w:pPr>
            <w:r>
              <w:t>10</w:t>
            </w:r>
          </w:p>
        </w:tc>
        <w:tc>
          <w:tcPr>
            <w:tcW w:w="7948" w:type="dxa"/>
            <w:gridSpan w:val="3"/>
          </w:tcPr>
          <w:p w14:paraId="69CD3E0A" w14:textId="77777777" w:rsidR="00D74BCB" w:rsidRPr="00D74BCB" w:rsidRDefault="00D74BCB" w:rsidP="00D74BCB">
            <w:pPr>
              <w:spacing w:after="120"/>
              <w:rPr>
                <w:rFonts w:ascii="Verdana" w:hAnsi="Verdana"/>
                <w:spacing w:val="-2"/>
                <w:sz w:val="20"/>
              </w:rPr>
            </w:pPr>
            <w:r w:rsidRPr="00D74BCB">
              <w:rPr>
                <w:rFonts w:ascii="Verdana" w:hAnsi="Verdana" w:cs="Arial"/>
                <w:sz w:val="20"/>
                <w:szCs w:val="20"/>
                <w:lang w:val="en-NZ"/>
              </w:rPr>
              <w:t>For Outgoing Hood Fellows, general expenses can be paid as an actual employee reimbursement claim or obtained as a cash advance to cover for daily expenses whilst travelling. This should be submitted through the University’s expense management system (Concur)</w:t>
            </w:r>
          </w:p>
        </w:tc>
      </w:tr>
      <w:tr w:rsidR="00701539" w:rsidRPr="008E32B9" w14:paraId="28EF4F2F" w14:textId="77777777" w:rsidTr="008A4BF4">
        <w:tc>
          <w:tcPr>
            <w:tcW w:w="581" w:type="dxa"/>
          </w:tcPr>
          <w:p w14:paraId="6DD59257" w14:textId="77777777" w:rsidR="00701539" w:rsidRDefault="00D74BCB" w:rsidP="009001D1">
            <w:pPr>
              <w:spacing w:after="120"/>
            </w:pPr>
            <w:r>
              <w:t>11</w:t>
            </w:r>
          </w:p>
        </w:tc>
        <w:tc>
          <w:tcPr>
            <w:tcW w:w="7948" w:type="dxa"/>
            <w:gridSpan w:val="3"/>
          </w:tcPr>
          <w:p w14:paraId="355C171C" w14:textId="77777777" w:rsidR="00701539" w:rsidRPr="00A7375C" w:rsidRDefault="00EB2845" w:rsidP="009001D1">
            <w:pPr>
              <w:spacing w:after="120"/>
              <w:rPr>
                <w:rFonts w:ascii="Verdana" w:hAnsi="Verdana"/>
                <w:spacing w:val="-2"/>
                <w:sz w:val="20"/>
                <w:highlight w:val="yellow"/>
              </w:rPr>
            </w:pPr>
            <w:r w:rsidRPr="00A7375C">
              <w:rPr>
                <w:rFonts w:ascii="Verdana" w:hAnsi="Verdana"/>
                <w:spacing w:val="-2"/>
                <w:sz w:val="20"/>
              </w:rPr>
              <w:t>In order to entertain Hood donors, alumni and friends who attend the public lecture by incoming Hood Fellows, up to $1500 will be made available for a social function.</w:t>
            </w:r>
          </w:p>
        </w:tc>
      </w:tr>
      <w:tr w:rsidR="00245D3E" w:rsidRPr="008E32B9" w14:paraId="36FB26A0" w14:textId="77777777" w:rsidTr="008A4BF4">
        <w:tc>
          <w:tcPr>
            <w:tcW w:w="581" w:type="dxa"/>
          </w:tcPr>
          <w:p w14:paraId="7FBD98E2" w14:textId="77777777" w:rsidR="00245D3E" w:rsidRPr="008E32B9" w:rsidRDefault="00D74BCB" w:rsidP="009001D1">
            <w:pPr>
              <w:spacing w:after="120"/>
            </w:pPr>
            <w:r>
              <w:t>12</w:t>
            </w:r>
          </w:p>
        </w:tc>
        <w:tc>
          <w:tcPr>
            <w:tcW w:w="7948" w:type="dxa"/>
            <w:gridSpan w:val="3"/>
          </w:tcPr>
          <w:p w14:paraId="279F1C00" w14:textId="108DBF68" w:rsidR="00EB2845" w:rsidRDefault="00245D3E" w:rsidP="0096032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All Hood Fellows </w:t>
            </w:r>
            <w:r w:rsidR="00FA0CA0"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and those responsible for nominating the Fellows shall provide a written report to the Hood Committee within 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three</w:t>
            </w:r>
            <w:r w:rsidR="00FA0CA0"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 months of the conclusion of tenure of the Fellowship.</w:t>
            </w:r>
            <w:r w:rsidR="0096032B">
              <w:rPr>
                <w:rFonts w:ascii="Verdana" w:hAnsi="Verdana" w:cs="Arial"/>
                <w:sz w:val="20"/>
                <w:szCs w:val="20"/>
                <w:lang w:val="en-NZ"/>
              </w:rPr>
              <w:t xml:space="preserve">  Please email your report to </w:t>
            </w:r>
            <w:hyperlink r:id="rId7" w:history="1">
              <w:r w:rsidR="006470F9" w:rsidRPr="006470F9">
                <w:rPr>
                  <w:rStyle w:val="Hyperlink"/>
                  <w:rFonts w:ascii="Verdana" w:hAnsi="Verdana" w:cs="Arial"/>
                  <w:sz w:val="20"/>
                  <w:szCs w:val="20"/>
                  <w:lang w:val="en-NZ"/>
                </w:rPr>
                <w:t>gautami.sithambaram@auckland.ac.nz</w:t>
              </w:r>
            </w:hyperlink>
            <w:r w:rsidR="006470F9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  <w:p w14:paraId="1E01F642" w14:textId="77777777" w:rsidR="00A106C9" w:rsidRDefault="00A106C9" w:rsidP="0096032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4C50F5AD" w14:textId="77777777" w:rsidR="00A106C9" w:rsidRDefault="00A106C9" w:rsidP="0096032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</w:p>
          <w:p w14:paraId="58EDD46C" w14:textId="77777777" w:rsidR="00E67F63" w:rsidRPr="009001D1" w:rsidRDefault="00E67F63" w:rsidP="0096032B">
            <w:pPr>
              <w:spacing w:after="120"/>
              <w:rPr>
                <w:rFonts w:ascii="Verdana" w:hAnsi="Verdana"/>
                <w:spacing w:val="-2"/>
                <w:sz w:val="20"/>
              </w:rPr>
            </w:pPr>
          </w:p>
        </w:tc>
      </w:tr>
      <w:tr w:rsidR="00245D3E" w:rsidRPr="008E32B9" w14:paraId="1A9B2A1E" w14:textId="77777777" w:rsidTr="008A4BF4">
        <w:tc>
          <w:tcPr>
            <w:tcW w:w="581" w:type="dxa"/>
          </w:tcPr>
          <w:p w14:paraId="5C059779" w14:textId="77777777" w:rsidR="00EB2845" w:rsidRPr="008E32B9" w:rsidRDefault="00EB2845" w:rsidP="00D74BCB">
            <w:pPr>
              <w:spacing w:after="120"/>
            </w:pPr>
            <w:r>
              <w:lastRenderedPageBreak/>
              <w:t>1</w:t>
            </w:r>
            <w:r w:rsidR="00D74BCB">
              <w:t>3</w:t>
            </w:r>
          </w:p>
        </w:tc>
        <w:tc>
          <w:tcPr>
            <w:tcW w:w="7948" w:type="dxa"/>
            <w:gridSpan w:val="3"/>
          </w:tcPr>
          <w:p w14:paraId="5D90E482" w14:textId="77777777" w:rsidR="00245D3E" w:rsidRPr="009001D1" w:rsidRDefault="00245D3E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For </w:t>
            </w:r>
            <w:smartTag w:uri="urn:schemas-microsoft-com:office:smarttags" w:element="place">
              <w:smartTag w:uri="urn:schemas-microsoft-com:office:smarttags" w:element="PlaceType">
                <w:r w:rsidRPr="009001D1">
                  <w:rPr>
                    <w:rFonts w:ascii="Verdana" w:hAnsi="Verdana" w:cs="Arial"/>
                    <w:b/>
                    <w:sz w:val="20"/>
                    <w:szCs w:val="20"/>
                    <w:lang w:val="en-NZ"/>
                  </w:rPr>
                  <w:t>University</w:t>
                </w:r>
              </w:smartTag>
              <w:r w:rsidRPr="009001D1">
                <w:rPr>
                  <w:rFonts w:ascii="Verdana" w:hAnsi="Verdana" w:cs="Arial"/>
                  <w:b/>
                  <w:sz w:val="20"/>
                  <w:szCs w:val="20"/>
                  <w:lang w:val="en-NZ"/>
                </w:rPr>
                <w:t xml:space="preserve"> of </w:t>
              </w:r>
              <w:smartTag w:uri="urn:schemas-microsoft-com:office:smarttags" w:element="PlaceName">
                <w:r w:rsidRPr="009001D1">
                  <w:rPr>
                    <w:rFonts w:ascii="Verdana" w:hAnsi="Verdana" w:cs="Arial"/>
                    <w:b/>
                    <w:sz w:val="20"/>
                    <w:szCs w:val="20"/>
                    <w:lang w:val="en-NZ"/>
                  </w:rPr>
                  <w:t>Auckland Hood Fellows</w:t>
                </w:r>
              </w:smartTag>
            </w:smartTag>
            <w:r w:rsidRPr="009001D1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 travelling overseas:</w:t>
            </w:r>
          </w:p>
        </w:tc>
      </w:tr>
      <w:tr w:rsidR="00245D3E" w:rsidRPr="008E32B9" w14:paraId="65F273BE" w14:textId="77777777" w:rsidTr="00E67F63">
        <w:tc>
          <w:tcPr>
            <w:tcW w:w="581" w:type="dxa"/>
          </w:tcPr>
          <w:p w14:paraId="4DAB8109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1017" w:type="dxa"/>
            <w:gridSpan w:val="2"/>
          </w:tcPr>
          <w:p w14:paraId="478222B1" w14:textId="77777777" w:rsidR="00245D3E" w:rsidRPr="009001D1" w:rsidRDefault="00D74BCB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13</w:t>
            </w:r>
            <w:r w:rsidR="00115B98" w:rsidRPr="009001D1">
              <w:rPr>
                <w:rFonts w:ascii="Verdana" w:hAnsi="Verdana" w:cs="Arial"/>
                <w:sz w:val="20"/>
                <w:szCs w:val="20"/>
                <w:lang w:val="en-NZ"/>
              </w:rPr>
              <w:t>.1</w:t>
            </w:r>
          </w:p>
        </w:tc>
        <w:tc>
          <w:tcPr>
            <w:tcW w:w="6931" w:type="dxa"/>
          </w:tcPr>
          <w:p w14:paraId="6679B3C5" w14:textId="77777777" w:rsidR="00701539" w:rsidRPr="00701539" w:rsidRDefault="00245D3E" w:rsidP="00EB2845">
            <w:pPr>
              <w:spacing w:after="120"/>
              <w:rPr>
                <w:rFonts w:ascii="Verdana" w:hAnsi="Verdana" w:cs="Arial"/>
                <w:b/>
                <w:i/>
                <w:sz w:val="20"/>
                <w:szCs w:val="20"/>
                <w:vertAlign w:val="subscript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Hood Fellowship leave is credited as service for study leave purposes.</w:t>
            </w:r>
          </w:p>
        </w:tc>
      </w:tr>
      <w:tr w:rsidR="00245D3E" w:rsidRPr="008E32B9" w14:paraId="3F43816F" w14:textId="77777777" w:rsidTr="00E67F63">
        <w:tc>
          <w:tcPr>
            <w:tcW w:w="581" w:type="dxa"/>
          </w:tcPr>
          <w:p w14:paraId="214F1E6F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1017" w:type="dxa"/>
            <w:gridSpan w:val="2"/>
          </w:tcPr>
          <w:p w14:paraId="734F5D11" w14:textId="77777777" w:rsidR="00245D3E" w:rsidRPr="009001D1" w:rsidRDefault="00EB2845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3</w:t>
            </w:r>
            <w:r w:rsidR="00115B98" w:rsidRPr="009001D1">
              <w:rPr>
                <w:rFonts w:ascii="Verdana" w:hAnsi="Verdana" w:cs="Arial"/>
                <w:sz w:val="20"/>
                <w:szCs w:val="20"/>
                <w:lang w:val="en-NZ"/>
              </w:rPr>
              <w:t>.2</w:t>
            </w:r>
          </w:p>
        </w:tc>
        <w:tc>
          <w:tcPr>
            <w:tcW w:w="6931" w:type="dxa"/>
          </w:tcPr>
          <w:p w14:paraId="46B23FB9" w14:textId="77777777" w:rsidR="00245D3E" w:rsidRPr="009001D1" w:rsidRDefault="00245D3E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A member of the academic staff of the University shall not normally be awarded a Hood Fellowship unless a period of at least one full year separates the end of any previous study leave.  In exceptional circumstances, a variation on the requirement to work 12 months between leave periods will be considered.</w:t>
            </w:r>
          </w:p>
        </w:tc>
      </w:tr>
      <w:tr w:rsidR="00245D3E" w:rsidRPr="008E32B9" w14:paraId="41E66295" w14:textId="77777777" w:rsidTr="00E67F63">
        <w:tc>
          <w:tcPr>
            <w:tcW w:w="581" w:type="dxa"/>
          </w:tcPr>
          <w:p w14:paraId="1BC96860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1017" w:type="dxa"/>
            <w:gridSpan w:val="2"/>
          </w:tcPr>
          <w:p w14:paraId="18B5F7AE" w14:textId="77777777" w:rsidR="00245D3E" w:rsidRPr="009001D1" w:rsidRDefault="00EB2845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3</w:t>
            </w:r>
            <w:r w:rsidR="00115B98" w:rsidRPr="009001D1">
              <w:rPr>
                <w:rFonts w:ascii="Verdana" w:hAnsi="Verdana" w:cs="Arial"/>
                <w:sz w:val="20"/>
                <w:szCs w:val="20"/>
                <w:lang w:val="en-NZ"/>
              </w:rPr>
              <w:t>.3</w:t>
            </w:r>
          </w:p>
        </w:tc>
        <w:tc>
          <w:tcPr>
            <w:tcW w:w="6931" w:type="dxa"/>
          </w:tcPr>
          <w:p w14:paraId="17EB88A8" w14:textId="77777777" w:rsidR="00245D3E" w:rsidRPr="009001D1" w:rsidRDefault="00245D3E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No more than a maximum of two leave periods, including Hood Fellowship leave, occurring in full or in part within any five-year periods shall be approved.</w:t>
            </w:r>
          </w:p>
        </w:tc>
      </w:tr>
      <w:tr w:rsidR="00245D3E" w:rsidRPr="008E32B9" w14:paraId="1866933E" w14:textId="77777777" w:rsidTr="00E67F63">
        <w:tc>
          <w:tcPr>
            <w:tcW w:w="581" w:type="dxa"/>
          </w:tcPr>
          <w:p w14:paraId="3E60C7E5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897" w:type="dxa"/>
          </w:tcPr>
          <w:p w14:paraId="21E166E6" w14:textId="77777777" w:rsidR="00245D3E" w:rsidRPr="009001D1" w:rsidRDefault="00EB2845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3</w:t>
            </w:r>
            <w:r w:rsidR="00115B98" w:rsidRPr="009001D1">
              <w:rPr>
                <w:rFonts w:ascii="Verdana" w:hAnsi="Verdana" w:cs="Arial"/>
                <w:sz w:val="20"/>
                <w:szCs w:val="20"/>
                <w:lang w:val="en-NZ"/>
              </w:rPr>
              <w:t>.4</w:t>
            </w:r>
          </w:p>
        </w:tc>
        <w:tc>
          <w:tcPr>
            <w:tcW w:w="7051" w:type="dxa"/>
            <w:gridSpan w:val="2"/>
          </w:tcPr>
          <w:p w14:paraId="5F353CB3" w14:textId="77777777" w:rsidR="00245D3E" w:rsidRPr="009001D1" w:rsidRDefault="00245D3E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Hood Fellowships may not be held concurrently with normal sabbatical leave entitlements.</w:t>
            </w:r>
          </w:p>
        </w:tc>
      </w:tr>
      <w:tr w:rsidR="00245D3E" w:rsidRPr="008E32B9" w14:paraId="3E866FD4" w14:textId="77777777" w:rsidTr="00E67F63">
        <w:tc>
          <w:tcPr>
            <w:tcW w:w="581" w:type="dxa"/>
          </w:tcPr>
          <w:p w14:paraId="322B80CC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897" w:type="dxa"/>
          </w:tcPr>
          <w:p w14:paraId="49F8F2B1" w14:textId="77777777" w:rsidR="00245D3E" w:rsidRPr="009001D1" w:rsidRDefault="00EB2845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3</w:t>
            </w:r>
            <w:r w:rsidR="00115B98" w:rsidRPr="009001D1">
              <w:rPr>
                <w:rFonts w:ascii="Verdana" w:hAnsi="Verdana" w:cs="Arial"/>
                <w:sz w:val="20"/>
                <w:szCs w:val="20"/>
                <w:lang w:val="en-NZ"/>
              </w:rPr>
              <w:t>.5</w:t>
            </w:r>
          </w:p>
        </w:tc>
        <w:tc>
          <w:tcPr>
            <w:tcW w:w="7051" w:type="dxa"/>
            <w:gridSpan w:val="2"/>
          </w:tcPr>
          <w:p w14:paraId="6E834F4F" w14:textId="77777777" w:rsidR="00653944" w:rsidRPr="009001D1" w:rsidRDefault="00115B98" w:rsidP="0096032B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A University of Auckland staff member in receipt of a Hood Fellowship who fails to return to duty at the University or returns for a period of less than a full year will be required to refund the Hood Fellowship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 grant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</w:p>
        </w:tc>
      </w:tr>
      <w:tr w:rsidR="00245D3E" w:rsidRPr="008E32B9" w14:paraId="1A78C871" w14:textId="77777777" w:rsidTr="008A4BF4">
        <w:tc>
          <w:tcPr>
            <w:tcW w:w="581" w:type="dxa"/>
          </w:tcPr>
          <w:p w14:paraId="467CE1AC" w14:textId="77777777" w:rsidR="00245D3E" w:rsidRPr="008E32B9" w:rsidRDefault="00764A62" w:rsidP="00EB2845">
            <w:pPr>
              <w:spacing w:before="120" w:after="120"/>
            </w:pPr>
            <w:r>
              <w:t>1</w:t>
            </w:r>
            <w:r w:rsidR="00D74BCB">
              <w:t>4</w:t>
            </w:r>
          </w:p>
        </w:tc>
        <w:tc>
          <w:tcPr>
            <w:tcW w:w="7948" w:type="dxa"/>
            <w:gridSpan w:val="3"/>
          </w:tcPr>
          <w:p w14:paraId="3FEA4C2A" w14:textId="77777777" w:rsidR="00245D3E" w:rsidRPr="009001D1" w:rsidRDefault="00245D3E" w:rsidP="00EB2845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b/>
                <w:sz w:val="20"/>
                <w:szCs w:val="20"/>
                <w:lang w:val="en-NZ"/>
              </w:rPr>
              <w:t xml:space="preserve">For </w:t>
            </w:r>
            <w:r w:rsidR="00BC51C9">
              <w:rPr>
                <w:rFonts w:ascii="Verdana" w:hAnsi="Verdana" w:cs="Arial"/>
                <w:b/>
                <w:sz w:val="20"/>
                <w:szCs w:val="20"/>
                <w:lang w:val="en-NZ"/>
              </w:rPr>
              <w:t>I</w:t>
            </w:r>
            <w:r w:rsidRPr="009001D1">
              <w:rPr>
                <w:rFonts w:ascii="Verdana" w:hAnsi="Verdana" w:cs="Arial"/>
                <w:b/>
                <w:sz w:val="20"/>
                <w:szCs w:val="20"/>
                <w:lang w:val="en-NZ"/>
              </w:rPr>
              <w:t>ncoming Hood Fellows:</w:t>
            </w:r>
          </w:p>
        </w:tc>
      </w:tr>
      <w:tr w:rsidR="00245D3E" w:rsidRPr="008E32B9" w14:paraId="63CD7545" w14:textId="77777777" w:rsidTr="00E67F63">
        <w:tc>
          <w:tcPr>
            <w:tcW w:w="581" w:type="dxa"/>
          </w:tcPr>
          <w:p w14:paraId="26AE6115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1017" w:type="dxa"/>
            <w:gridSpan w:val="2"/>
          </w:tcPr>
          <w:p w14:paraId="0ACF27CB" w14:textId="77777777" w:rsidR="00245D3E" w:rsidRPr="009001D1" w:rsidRDefault="00764A62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4</w:t>
            </w:r>
            <w:r w:rsidR="00115B98" w:rsidRPr="009001D1">
              <w:rPr>
                <w:rFonts w:ascii="Verdana" w:hAnsi="Verdana" w:cs="Arial"/>
                <w:sz w:val="20"/>
                <w:szCs w:val="20"/>
                <w:lang w:val="en-NZ"/>
              </w:rPr>
              <w:t>.1</w:t>
            </w:r>
          </w:p>
        </w:tc>
        <w:tc>
          <w:tcPr>
            <w:tcW w:w="6931" w:type="dxa"/>
          </w:tcPr>
          <w:p w14:paraId="48363CF6" w14:textId="77777777" w:rsidR="00245D3E" w:rsidRPr="009001D1" w:rsidRDefault="00245D3E" w:rsidP="009001D1">
            <w:pPr>
              <w:spacing w:after="120"/>
              <w:rPr>
                <w:rFonts w:ascii="Verdana" w:hAnsi="Verdana" w:cs="Arial"/>
                <w:b/>
                <w:i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 xml:space="preserve">Nominations for incoming Hood Fellows need to be </w:t>
            </w:r>
            <w:r w:rsidR="00D3699C">
              <w:rPr>
                <w:rFonts w:ascii="Verdana" w:hAnsi="Verdana" w:cs="Arial"/>
                <w:sz w:val="20"/>
                <w:szCs w:val="20"/>
                <w:lang w:val="en-NZ"/>
              </w:rPr>
              <w:t xml:space="preserve">supported 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by at least two nominators, all of whom must be University of Auckland academic staff members.</w:t>
            </w:r>
          </w:p>
        </w:tc>
      </w:tr>
      <w:tr w:rsidR="00245D3E" w:rsidRPr="008E32B9" w14:paraId="732A4555" w14:textId="77777777" w:rsidTr="00E67F63">
        <w:tc>
          <w:tcPr>
            <w:tcW w:w="581" w:type="dxa"/>
          </w:tcPr>
          <w:p w14:paraId="5C18B1FB" w14:textId="77777777" w:rsidR="00245D3E" w:rsidRPr="008E32B9" w:rsidRDefault="00245D3E" w:rsidP="009001D1">
            <w:pPr>
              <w:spacing w:after="120"/>
            </w:pPr>
          </w:p>
        </w:tc>
        <w:tc>
          <w:tcPr>
            <w:tcW w:w="1017" w:type="dxa"/>
            <w:gridSpan w:val="2"/>
          </w:tcPr>
          <w:p w14:paraId="3A70C2D3" w14:textId="77777777" w:rsidR="00245D3E" w:rsidRPr="009001D1" w:rsidRDefault="00115B98" w:rsidP="006641AA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4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.2</w:t>
            </w:r>
          </w:p>
        </w:tc>
        <w:tc>
          <w:tcPr>
            <w:tcW w:w="6931" w:type="dxa"/>
          </w:tcPr>
          <w:p w14:paraId="12EEEDEC" w14:textId="77777777" w:rsidR="00245D3E" w:rsidRPr="009001D1" w:rsidRDefault="0013058A" w:rsidP="009001D1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/>
                <w:sz w:val="20"/>
              </w:rPr>
              <w:t xml:space="preserve">It is expected that all incoming Hood Fellows will provide at least one public lecture or seminar and undertake media activities where relevant. </w:t>
            </w:r>
            <w:r w:rsidRPr="009001D1">
              <w:rPr>
                <w:rFonts w:ascii="Verdana" w:hAnsi="Verdana"/>
                <w:spacing w:val="-2"/>
                <w:sz w:val="20"/>
              </w:rPr>
              <w:t>Awardees</w:t>
            </w:r>
            <w:r w:rsidR="00E97618">
              <w:rPr>
                <w:rFonts w:ascii="Verdana" w:hAnsi="Verdana"/>
                <w:spacing w:val="-2"/>
                <w:sz w:val="20"/>
              </w:rPr>
              <w:t xml:space="preserve"> are expected to take up their f</w:t>
            </w:r>
            <w:r w:rsidRPr="009001D1">
              <w:rPr>
                <w:rFonts w:ascii="Verdana" w:hAnsi="Verdana"/>
                <w:spacing w:val="-2"/>
                <w:sz w:val="20"/>
              </w:rPr>
              <w:t xml:space="preserve">ellowships at the University of Auckland during teaching periods. </w:t>
            </w:r>
          </w:p>
        </w:tc>
      </w:tr>
      <w:tr w:rsidR="00D91FAA" w:rsidRPr="008E32B9" w14:paraId="6DED0A5C" w14:textId="77777777" w:rsidTr="00E67F63">
        <w:tc>
          <w:tcPr>
            <w:tcW w:w="581" w:type="dxa"/>
          </w:tcPr>
          <w:p w14:paraId="37B2BC79" w14:textId="77777777" w:rsidR="00D91FAA" w:rsidRPr="008E32B9" w:rsidRDefault="00D91FAA" w:rsidP="009001D1">
            <w:pPr>
              <w:spacing w:after="120"/>
            </w:pPr>
          </w:p>
        </w:tc>
        <w:tc>
          <w:tcPr>
            <w:tcW w:w="1017" w:type="dxa"/>
            <w:gridSpan w:val="2"/>
          </w:tcPr>
          <w:p w14:paraId="5EF54BB1" w14:textId="77777777" w:rsidR="00D91FAA" w:rsidRPr="009001D1" w:rsidRDefault="00115B98" w:rsidP="006641AA">
            <w:pPr>
              <w:spacing w:after="120"/>
              <w:rPr>
                <w:rFonts w:ascii="Verdana" w:hAnsi="Verdana" w:cs="Arial"/>
                <w:sz w:val="20"/>
                <w:szCs w:val="20"/>
                <w:lang w:val="en-NZ"/>
              </w:rPr>
            </w:pP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1</w:t>
            </w:r>
            <w:r w:rsidR="00D74BCB">
              <w:rPr>
                <w:rFonts w:ascii="Verdana" w:hAnsi="Verdana" w:cs="Arial"/>
                <w:sz w:val="20"/>
                <w:szCs w:val="20"/>
                <w:lang w:val="en-NZ"/>
              </w:rPr>
              <w:t>4</w:t>
            </w:r>
            <w:r w:rsidRPr="009001D1">
              <w:rPr>
                <w:rFonts w:ascii="Verdana" w:hAnsi="Verdana" w:cs="Arial"/>
                <w:sz w:val="20"/>
                <w:szCs w:val="20"/>
                <w:lang w:val="en-NZ"/>
              </w:rPr>
              <w:t>.</w:t>
            </w:r>
            <w:r w:rsidR="00EB2845">
              <w:rPr>
                <w:rFonts w:ascii="Verdana" w:hAnsi="Verdana" w:cs="Arial"/>
                <w:sz w:val="20"/>
                <w:szCs w:val="20"/>
                <w:lang w:val="en-NZ"/>
              </w:rPr>
              <w:t>3</w:t>
            </w:r>
          </w:p>
        </w:tc>
        <w:tc>
          <w:tcPr>
            <w:tcW w:w="6931" w:type="dxa"/>
          </w:tcPr>
          <w:p w14:paraId="0365A80F" w14:textId="3B12FF82" w:rsidR="00D91FAA" w:rsidRPr="009001D1" w:rsidRDefault="00D91FAA" w:rsidP="006641AA">
            <w:pPr>
              <w:spacing w:after="120"/>
              <w:rPr>
                <w:rFonts w:ascii="Verdana" w:hAnsi="Verdana"/>
                <w:spacing w:val="-2"/>
                <w:sz w:val="20"/>
                <w:szCs w:val="20"/>
              </w:rPr>
            </w:pPr>
            <w:r w:rsidRPr="009001D1">
              <w:rPr>
                <w:rFonts w:ascii="Verdana" w:hAnsi="Verdana"/>
                <w:sz w:val="20"/>
                <w:szCs w:val="20"/>
              </w:rPr>
              <w:t xml:space="preserve">When planning the in-coming Hood Fellow’s schedule of lectures, the principal nominator should consult with </w:t>
            </w:r>
            <w:r w:rsidR="006470F9" w:rsidRPr="006470F9">
              <w:rPr>
                <w:rFonts w:ascii="Verdana" w:hAnsi="Verdana"/>
                <w:sz w:val="20"/>
                <w:szCs w:val="20"/>
              </w:rPr>
              <w:t>Gautami Sithambaram, extension 82617</w:t>
            </w:r>
            <w:r w:rsidRPr="009001D1">
              <w:rPr>
                <w:rFonts w:ascii="Verdana" w:hAnsi="Verdana"/>
                <w:sz w:val="20"/>
                <w:szCs w:val="20"/>
              </w:rPr>
              <w:t xml:space="preserve">, in good time beforehand with a view to avoiding clashes with relevant lectures given by other visitors. </w:t>
            </w:r>
          </w:p>
        </w:tc>
      </w:tr>
    </w:tbl>
    <w:p w14:paraId="39B34D21" w14:textId="77777777" w:rsidR="00245D3E" w:rsidRPr="008E32B9" w:rsidRDefault="00245D3E" w:rsidP="00115B98">
      <w:pPr>
        <w:spacing w:after="120"/>
      </w:pPr>
    </w:p>
    <w:p w14:paraId="2EA2BF6F" w14:textId="77777777" w:rsidR="00245D3E" w:rsidRPr="008E32B9" w:rsidRDefault="00245D3E" w:rsidP="00115B98">
      <w:pPr>
        <w:spacing w:after="120"/>
      </w:pPr>
    </w:p>
    <w:sectPr w:rsidR="00245D3E" w:rsidRPr="008E32B9" w:rsidSect="00935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91" w:right="1797" w:bottom="1304" w:left="1797" w:header="720" w:footer="72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2985" w14:textId="77777777" w:rsidR="007C2678" w:rsidRDefault="007C2678">
      <w:r>
        <w:separator/>
      </w:r>
    </w:p>
  </w:endnote>
  <w:endnote w:type="continuationSeparator" w:id="0">
    <w:p w14:paraId="38954AE3" w14:textId="77777777" w:rsidR="007C2678" w:rsidRDefault="007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CD5F" w14:textId="77777777" w:rsidR="00E67F63" w:rsidRDefault="00E67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64BA" w14:textId="77777777" w:rsidR="00000008" w:rsidRPr="00E67F63" w:rsidRDefault="00000008" w:rsidP="00E67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7FCC" w14:textId="77777777" w:rsidR="00E67F63" w:rsidRDefault="00E67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7179" w14:textId="77777777" w:rsidR="007C2678" w:rsidRDefault="007C2678">
      <w:r>
        <w:separator/>
      </w:r>
    </w:p>
  </w:footnote>
  <w:footnote w:type="continuationSeparator" w:id="0">
    <w:p w14:paraId="3F899D92" w14:textId="77777777" w:rsidR="007C2678" w:rsidRDefault="007C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CDF6" w14:textId="77777777" w:rsidR="00E67F63" w:rsidRDefault="00E67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E326" w14:textId="77777777" w:rsidR="00000008" w:rsidRDefault="00D86505" w:rsidP="00517535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2BF3A770" wp14:editId="3D6B3DF1">
          <wp:extent cx="1562100" cy="590550"/>
          <wp:effectExtent l="0" t="0" r="0" b="0"/>
          <wp:docPr id="1" name="Picture 1" descr="UOA_Logo_BW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A_Logo_BW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4F44" w14:textId="77777777" w:rsidR="00E67F63" w:rsidRDefault="00E67F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4C68C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057AA"/>
    <w:multiLevelType w:val="hybridMultilevel"/>
    <w:tmpl w:val="461E7E26"/>
    <w:lvl w:ilvl="0" w:tplc="2C648560">
      <w:start w:val="1"/>
      <w:numFmt w:val="low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9D86296"/>
    <w:multiLevelType w:val="hybridMultilevel"/>
    <w:tmpl w:val="D1EA8D7A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738B3"/>
    <w:multiLevelType w:val="singleLevel"/>
    <w:tmpl w:val="6D78120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5" w15:restartNumberingAfterBreak="0">
    <w:nsid w:val="185C2C05"/>
    <w:multiLevelType w:val="hybridMultilevel"/>
    <w:tmpl w:val="BACEF16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E2C96"/>
    <w:multiLevelType w:val="hybridMultilevel"/>
    <w:tmpl w:val="9E18668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A72C72"/>
    <w:multiLevelType w:val="hybridMultilevel"/>
    <w:tmpl w:val="3E2EC382"/>
    <w:lvl w:ilvl="0" w:tplc="EB6069C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B37F2A"/>
    <w:multiLevelType w:val="hybridMultilevel"/>
    <w:tmpl w:val="6984731E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9E4C17"/>
    <w:multiLevelType w:val="multilevel"/>
    <w:tmpl w:val="9BE67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97EF6"/>
    <w:multiLevelType w:val="multilevel"/>
    <w:tmpl w:val="9E1866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E4D12"/>
    <w:multiLevelType w:val="hybridMultilevel"/>
    <w:tmpl w:val="262027BE"/>
    <w:lvl w:ilvl="0" w:tplc="B208717C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AB3EB5"/>
    <w:multiLevelType w:val="hybridMultilevel"/>
    <w:tmpl w:val="5A947A40"/>
    <w:lvl w:ilvl="0" w:tplc="9D30D1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6BED69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BB6AE3"/>
    <w:multiLevelType w:val="hybridMultilevel"/>
    <w:tmpl w:val="AFD4E988"/>
    <w:lvl w:ilvl="0" w:tplc="912CC75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2F2559"/>
    <w:multiLevelType w:val="hybridMultilevel"/>
    <w:tmpl w:val="FCB6864C"/>
    <w:lvl w:ilvl="0" w:tplc="1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1E4AED"/>
    <w:multiLevelType w:val="hybridMultilevel"/>
    <w:tmpl w:val="30606046"/>
    <w:lvl w:ilvl="0" w:tplc="56CA1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093D39"/>
    <w:multiLevelType w:val="hybridMultilevel"/>
    <w:tmpl w:val="1BD6566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52D21CC"/>
    <w:multiLevelType w:val="hybridMultilevel"/>
    <w:tmpl w:val="330CBF1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EA61D6"/>
    <w:multiLevelType w:val="hybridMultilevel"/>
    <w:tmpl w:val="71CE4C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276D0E"/>
    <w:multiLevelType w:val="hybridMultilevel"/>
    <w:tmpl w:val="FD38F214"/>
    <w:lvl w:ilvl="0" w:tplc="34D8C1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C6624F6"/>
    <w:multiLevelType w:val="hybridMultilevel"/>
    <w:tmpl w:val="38F44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7"/>
  </w:num>
  <w:num w:numId="6">
    <w:abstractNumId w:val="19"/>
  </w:num>
  <w:num w:numId="7">
    <w:abstractNumId w:val="20"/>
  </w:num>
  <w:num w:numId="8">
    <w:abstractNumId w:val="12"/>
  </w:num>
  <w:num w:numId="9">
    <w:abstractNumId w:val="18"/>
  </w:num>
  <w:num w:numId="10">
    <w:abstractNumId w:val="17"/>
  </w:num>
  <w:num w:numId="11">
    <w:abstractNumId w:val="14"/>
  </w:num>
  <w:num w:numId="12">
    <w:abstractNumId w:val="11"/>
  </w:num>
  <w:num w:numId="13">
    <w:abstractNumId w:val="2"/>
  </w:num>
  <w:num w:numId="14">
    <w:abstractNumId w:val="15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9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69"/>
    <w:rsid w:val="00000008"/>
    <w:rsid w:val="00005927"/>
    <w:rsid w:val="00027FB3"/>
    <w:rsid w:val="00037BA2"/>
    <w:rsid w:val="000B5489"/>
    <w:rsid w:val="000F6DEE"/>
    <w:rsid w:val="00115B98"/>
    <w:rsid w:val="0013058A"/>
    <w:rsid w:val="00185C54"/>
    <w:rsid w:val="001B5FE6"/>
    <w:rsid w:val="001C32BD"/>
    <w:rsid w:val="001D73BC"/>
    <w:rsid w:val="00215265"/>
    <w:rsid w:val="00235D20"/>
    <w:rsid w:val="00236643"/>
    <w:rsid w:val="00245D3E"/>
    <w:rsid w:val="00277416"/>
    <w:rsid w:val="00286A19"/>
    <w:rsid w:val="002A56B1"/>
    <w:rsid w:val="002D2AEA"/>
    <w:rsid w:val="002D3C0C"/>
    <w:rsid w:val="003A1151"/>
    <w:rsid w:val="003A2336"/>
    <w:rsid w:val="00405E72"/>
    <w:rsid w:val="00441A08"/>
    <w:rsid w:val="004658FF"/>
    <w:rsid w:val="00495B19"/>
    <w:rsid w:val="0049672B"/>
    <w:rsid w:val="004A5106"/>
    <w:rsid w:val="004E306C"/>
    <w:rsid w:val="00517535"/>
    <w:rsid w:val="005213AB"/>
    <w:rsid w:val="0052787F"/>
    <w:rsid w:val="00537F89"/>
    <w:rsid w:val="00545AAC"/>
    <w:rsid w:val="00557EB6"/>
    <w:rsid w:val="00560C10"/>
    <w:rsid w:val="005668EC"/>
    <w:rsid w:val="005762C9"/>
    <w:rsid w:val="005968D3"/>
    <w:rsid w:val="005A542A"/>
    <w:rsid w:val="005B2F7E"/>
    <w:rsid w:val="005C6174"/>
    <w:rsid w:val="005E0FE1"/>
    <w:rsid w:val="0060264E"/>
    <w:rsid w:val="006359D1"/>
    <w:rsid w:val="006470F9"/>
    <w:rsid w:val="00653944"/>
    <w:rsid w:val="006641AA"/>
    <w:rsid w:val="00667F15"/>
    <w:rsid w:val="00670A9D"/>
    <w:rsid w:val="0068011C"/>
    <w:rsid w:val="006C045A"/>
    <w:rsid w:val="00701539"/>
    <w:rsid w:val="00717772"/>
    <w:rsid w:val="0072178D"/>
    <w:rsid w:val="00726458"/>
    <w:rsid w:val="00737F6B"/>
    <w:rsid w:val="00754280"/>
    <w:rsid w:val="00764A62"/>
    <w:rsid w:val="00787020"/>
    <w:rsid w:val="00796400"/>
    <w:rsid w:val="007C15CB"/>
    <w:rsid w:val="007C2678"/>
    <w:rsid w:val="007D42FE"/>
    <w:rsid w:val="008040B1"/>
    <w:rsid w:val="008210F1"/>
    <w:rsid w:val="00865905"/>
    <w:rsid w:val="008A16EE"/>
    <w:rsid w:val="008A4BF4"/>
    <w:rsid w:val="008B7622"/>
    <w:rsid w:val="008D7696"/>
    <w:rsid w:val="008E32B9"/>
    <w:rsid w:val="009001D1"/>
    <w:rsid w:val="00935E05"/>
    <w:rsid w:val="0094130F"/>
    <w:rsid w:val="0094405E"/>
    <w:rsid w:val="0096032B"/>
    <w:rsid w:val="009760BA"/>
    <w:rsid w:val="009949BA"/>
    <w:rsid w:val="00997F43"/>
    <w:rsid w:val="009A3BBD"/>
    <w:rsid w:val="009D71E7"/>
    <w:rsid w:val="00A106C9"/>
    <w:rsid w:val="00A7375C"/>
    <w:rsid w:val="00AA0549"/>
    <w:rsid w:val="00AA32C1"/>
    <w:rsid w:val="00AA3996"/>
    <w:rsid w:val="00AB7916"/>
    <w:rsid w:val="00AE11F9"/>
    <w:rsid w:val="00AF600F"/>
    <w:rsid w:val="00B1677D"/>
    <w:rsid w:val="00B621BC"/>
    <w:rsid w:val="00B64399"/>
    <w:rsid w:val="00BA6A15"/>
    <w:rsid w:val="00BC51C9"/>
    <w:rsid w:val="00BF1F9C"/>
    <w:rsid w:val="00BF5201"/>
    <w:rsid w:val="00C037DB"/>
    <w:rsid w:val="00C158E4"/>
    <w:rsid w:val="00C208D2"/>
    <w:rsid w:val="00C311D6"/>
    <w:rsid w:val="00C827A9"/>
    <w:rsid w:val="00CB135D"/>
    <w:rsid w:val="00CB5128"/>
    <w:rsid w:val="00CC2A69"/>
    <w:rsid w:val="00CC3943"/>
    <w:rsid w:val="00CC7E4C"/>
    <w:rsid w:val="00D16D1E"/>
    <w:rsid w:val="00D22590"/>
    <w:rsid w:val="00D3699C"/>
    <w:rsid w:val="00D42C4A"/>
    <w:rsid w:val="00D4497D"/>
    <w:rsid w:val="00D47E57"/>
    <w:rsid w:val="00D74BCB"/>
    <w:rsid w:val="00D86505"/>
    <w:rsid w:val="00D90278"/>
    <w:rsid w:val="00D91FAA"/>
    <w:rsid w:val="00E05510"/>
    <w:rsid w:val="00E15FFB"/>
    <w:rsid w:val="00E23E92"/>
    <w:rsid w:val="00E25518"/>
    <w:rsid w:val="00E455EF"/>
    <w:rsid w:val="00E47616"/>
    <w:rsid w:val="00E66106"/>
    <w:rsid w:val="00E67F63"/>
    <w:rsid w:val="00E80EA5"/>
    <w:rsid w:val="00E96FD4"/>
    <w:rsid w:val="00E97618"/>
    <w:rsid w:val="00E97D19"/>
    <w:rsid w:val="00EA4832"/>
    <w:rsid w:val="00EB2845"/>
    <w:rsid w:val="00F13A68"/>
    <w:rsid w:val="00F6111B"/>
    <w:rsid w:val="00F64129"/>
    <w:rsid w:val="00F67A20"/>
    <w:rsid w:val="00FA0CA0"/>
    <w:rsid w:val="00FB3142"/>
    <w:rsid w:val="00FD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8D40D9D"/>
  <w15:chartTrackingRefBased/>
  <w15:docId w15:val="{C3546496-610D-47A3-A4E7-7345B24B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15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667F15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67F15"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qFormat/>
    <w:rsid w:val="00667F15"/>
    <w:pPr>
      <w:keepNext/>
      <w:outlineLvl w:val="2"/>
    </w:pPr>
    <w:rPr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rsid w:val="00667F15"/>
    <w:pPr>
      <w:keepNext/>
      <w:jc w:val="center"/>
      <w:outlineLvl w:val="6"/>
    </w:pPr>
    <w:rPr>
      <w:b/>
      <w:sz w:val="28"/>
      <w:szCs w:val="20"/>
      <w:lang w:val="en-US"/>
    </w:rPr>
  </w:style>
  <w:style w:type="paragraph" w:styleId="Heading8">
    <w:name w:val="heading 8"/>
    <w:basedOn w:val="Normal"/>
    <w:next w:val="Normal"/>
    <w:qFormat/>
    <w:rsid w:val="00667F15"/>
    <w:pPr>
      <w:keepNext/>
      <w:jc w:val="center"/>
      <w:outlineLvl w:val="7"/>
    </w:pPr>
    <w:rPr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7F15"/>
    <w:pPr>
      <w:tabs>
        <w:tab w:val="center" w:pos="4252"/>
        <w:tab w:val="right" w:pos="8504"/>
      </w:tabs>
    </w:pPr>
    <w:rPr>
      <w:rFonts w:ascii="Times" w:hAnsi="Times"/>
      <w:szCs w:val="20"/>
      <w:lang w:val="en-US"/>
    </w:rPr>
  </w:style>
  <w:style w:type="paragraph" w:styleId="List3">
    <w:name w:val="List 3"/>
    <w:basedOn w:val="Normal"/>
    <w:rsid w:val="00667F15"/>
    <w:pPr>
      <w:spacing w:after="120"/>
      <w:ind w:left="566"/>
    </w:pPr>
    <w:rPr>
      <w:rFonts w:ascii="Times" w:hAnsi="Times"/>
      <w:szCs w:val="20"/>
      <w:lang w:val="en-US"/>
    </w:rPr>
  </w:style>
  <w:style w:type="paragraph" w:styleId="BodyText">
    <w:name w:val="Body Text"/>
    <w:basedOn w:val="Normal"/>
    <w:link w:val="BodyTextChar"/>
    <w:rsid w:val="00667F15"/>
    <w:pPr>
      <w:jc w:val="both"/>
    </w:pPr>
    <w:rPr>
      <w:rFonts w:ascii="Times" w:hAnsi="Times"/>
      <w:szCs w:val="20"/>
    </w:rPr>
  </w:style>
  <w:style w:type="paragraph" w:styleId="BodyText2">
    <w:name w:val="Body Text 2"/>
    <w:basedOn w:val="Normal"/>
    <w:rsid w:val="00667F15"/>
    <w:pPr>
      <w:jc w:val="both"/>
    </w:pPr>
    <w:rPr>
      <w:i/>
      <w:iCs/>
    </w:rPr>
  </w:style>
  <w:style w:type="paragraph" w:styleId="BodyText3">
    <w:name w:val="Body Text 3"/>
    <w:basedOn w:val="Normal"/>
    <w:rsid w:val="00667F15"/>
    <w:pPr>
      <w:tabs>
        <w:tab w:val="left" w:leader="underscore" w:pos="6120"/>
        <w:tab w:val="left" w:pos="6521"/>
        <w:tab w:val="left" w:leader="underscore" w:pos="8505"/>
      </w:tabs>
      <w:jc w:val="both"/>
    </w:pPr>
    <w:rPr>
      <w:b/>
      <w:sz w:val="22"/>
      <w:szCs w:val="20"/>
      <w:lang w:val="en-US"/>
    </w:rPr>
  </w:style>
  <w:style w:type="paragraph" w:styleId="BodyTextIndent">
    <w:name w:val="Body Text Indent"/>
    <w:basedOn w:val="Normal"/>
    <w:rsid w:val="00667F15"/>
    <w:pPr>
      <w:ind w:left="360"/>
      <w:jc w:val="both"/>
    </w:pPr>
    <w:rPr>
      <w:i/>
      <w:iCs/>
    </w:rPr>
  </w:style>
  <w:style w:type="character" w:styleId="Hyperlink">
    <w:name w:val="Hyperlink"/>
    <w:rsid w:val="009A3BBD"/>
    <w:rPr>
      <w:rFonts w:cs="Times New Roman"/>
      <w:color w:val="0000FF"/>
      <w:u w:val="single"/>
    </w:rPr>
  </w:style>
  <w:style w:type="character" w:customStyle="1" w:styleId="BodyTextChar">
    <w:name w:val="Body Text Char"/>
    <w:link w:val="BodyText"/>
    <w:locked/>
    <w:rsid w:val="00286A19"/>
    <w:rPr>
      <w:rFonts w:ascii="Times" w:hAnsi="Times" w:cs="Times New Roman"/>
      <w:sz w:val="24"/>
      <w:lang w:val="en-AU" w:eastAsia="en-US" w:bidi="ar-SA"/>
    </w:rPr>
  </w:style>
  <w:style w:type="paragraph" w:styleId="Header">
    <w:name w:val="header"/>
    <w:basedOn w:val="Normal"/>
    <w:rsid w:val="0051753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4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7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7618"/>
    <w:rPr>
      <w:rFonts w:ascii="Tahoma" w:hAnsi="Tahoma" w:cs="Tahoma"/>
      <w:sz w:val="16"/>
      <w:szCs w:val="16"/>
      <w:lang w:val="en-AU" w:eastAsia="en-US"/>
    </w:rPr>
  </w:style>
  <w:style w:type="paragraph" w:styleId="Revision">
    <w:name w:val="Revision"/>
    <w:hidden/>
    <w:uiPriority w:val="99"/>
    <w:semiHidden/>
    <w:rsid w:val="004E306C"/>
    <w:rPr>
      <w:sz w:val="24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7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utami.sithambaram@auckland.ac.n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AUCKLAND</vt:lpstr>
    </vt:vector>
  </TitlesOfParts>
  <Company>University of Auckland</Company>
  <LinksUpToDate>false</LinksUpToDate>
  <CharactersWithSpaces>4298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>mailto:pc.dasilva@auckland.ac.nz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AUCKLAND</dc:title>
  <dc:subject/>
  <dc:creator>pblack</dc:creator>
  <cp:keywords/>
  <dc:description/>
  <cp:lastModifiedBy>David Taylor</cp:lastModifiedBy>
  <cp:revision>4</cp:revision>
  <cp:lastPrinted>2019-04-29T05:41:00Z</cp:lastPrinted>
  <dcterms:created xsi:type="dcterms:W3CDTF">2019-04-29T05:39:00Z</dcterms:created>
  <dcterms:modified xsi:type="dcterms:W3CDTF">2021-12-22T01:25:00Z</dcterms:modified>
</cp:coreProperties>
</file>